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b/>
          <w:color w:val="FF0000"/>
          <w:sz w:val="136"/>
          <w:szCs w:val="136"/>
        </w:rPr>
      </w:pPr>
      <w:r>
        <w:rPr>
          <w:rFonts w:hint="eastAsia" w:ascii="方正小标宋简体" w:hAnsi="宋体" w:eastAsia="方正小标宋简体" w:cs="宋体"/>
          <w:b/>
          <w:color w:val="FF0000"/>
          <w:sz w:val="136"/>
          <w:szCs w:val="136"/>
        </w:rPr>
        <w:t>督导简报</w:t>
      </w:r>
    </w:p>
    <w:p>
      <w:pPr>
        <w:widowControl/>
        <w:spacing w:line="560" w:lineRule="exact"/>
        <w:ind w:firstLine="600"/>
        <w:jc w:val="center"/>
        <w:rPr>
          <w:rFonts w:ascii="华文新魏" w:hAnsi="宋体" w:eastAsia="华文新魏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〔</w:t>
      </w:r>
      <w:r>
        <w:rPr>
          <w:rFonts w:ascii="仿宋_GB2312" w:hAnsi="宋体" w:eastAsia="仿宋_GB2312" w:cs="宋体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sz w:val="30"/>
          <w:szCs w:val="30"/>
        </w:rPr>
        <w:t>4〕第</w:t>
      </w:r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>2期</w:t>
      </w:r>
    </w:p>
    <w:p>
      <w:pPr>
        <w:widowControl/>
        <w:spacing w:line="560" w:lineRule="exact"/>
        <w:ind w:firstLine="560"/>
        <w:jc w:val="center"/>
        <w:rPr>
          <w:rFonts w:ascii="宋体" w:hAnsi="宋体"/>
          <w:color w:val="000000"/>
        </w:rPr>
      </w:pPr>
      <w:r>
        <w:rPr>
          <w:rFonts w:hint="eastAsia" w:ascii="仿宋_GB2312" w:hAnsi="宋体" w:eastAsia="仿宋_GB2312" w:cs="宋体"/>
          <w:sz w:val="28"/>
          <w:szCs w:val="28"/>
        </w:rPr>
        <w:t>苏州高等职业技术学校</w:t>
      </w:r>
      <w:r>
        <w:rPr>
          <w:rFonts w:ascii="仿宋_GB2312" w:hAnsi="宋体" w:eastAsia="仿宋_GB2312" w:cs="宋体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宋体"/>
          <w:sz w:val="30"/>
          <w:szCs w:val="30"/>
        </w:rPr>
        <w:t>总第66期</w:t>
      </w:r>
    </w:p>
    <w:p>
      <w:pPr>
        <w:spacing w:line="56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10225" cy="1079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pt;height:0.85pt;width:441.75pt;z-index:251659264;mso-width-relative:page;mso-height-relative:page;" filled="f" stroked="t" coordsize="21600,21600" o:gfxdata="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TJtyzXAAAABgEAAA8AAAAAAAAAAQAgAAAAIgAAAGRycy9kb3ducmV2LnhtbFBL&#10;AQIUABQAAAAIAIdO4kAo5cXn9wEAAOcDAAAOAAAAAAAAAAEAIAAAACY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是中华人民共和国成立75周年，是全面完成“十四五”规划目标任务的关键一年，也是学校创建国家级“双优学校”和省级“标杆学校”的关键之年，督导工作以“走在前、做示范”的标准抓落实，本月围绕专业吻合度、心理健康教育、过程性评价开展专项督导工作，做好跟踪问效，服务学校高质量发展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工作动态</w:t>
      </w:r>
    </w:p>
    <w:p>
      <w:pPr>
        <w:spacing w:line="560" w:lineRule="exact"/>
        <w:ind w:firstLine="640" w:firstLineChars="200"/>
        <w:rPr>
          <w:rFonts w:ascii="楷体" w:hAnsi="楷体" w:eastAsia="楷体" w:cs="仿宋"/>
          <w:sz w:val="32"/>
          <w:szCs w:val="32"/>
        </w:rPr>
      </w:pPr>
      <w:bookmarkStart w:id="0" w:name="OLE_LINK2"/>
      <w:r>
        <w:rPr>
          <w:rFonts w:hint="eastAsia" w:ascii="楷体" w:hAnsi="楷体" w:eastAsia="楷体" w:cs="仿宋"/>
          <w:sz w:val="32"/>
          <w:szCs w:val="32"/>
        </w:rPr>
        <w:t>1.</w:t>
      </w:r>
      <w:bookmarkEnd w:id="0"/>
      <w:r>
        <w:rPr>
          <w:rFonts w:hint="eastAsia" w:ascii="楷体" w:hAnsi="楷体" w:eastAsia="楷体" w:cs="仿宋"/>
          <w:sz w:val="32"/>
          <w:szCs w:val="32"/>
        </w:rPr>
        <w:t>专业吻合度专项督导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落实《国家职业教育改革实施方案》精神，推进国家教学标准落地实施，学校紧紧围绕地方行业产业发展，围绕学校五年制高职专业建设，开展专业与产业吻合度专项督导，分校区召开座谈会。学校18个专业负责人及企业代表参加座谈会。4月27日下午，在学校行政楼四楼会议室召开专题工作汇报会，六系系主任做专题汇报，学校党委书记占百春，督导组副组长徐伟刚及全体督导组成员参会。督导发现，学校专业建设速度与行业产业发展速度、专业设施设备经费与财政经费、企业需求与学生家长需求、专业壁垒与专业融合发展等存在不匹配现象。</w:t>
      </w:r>
    </w:p>
    <w:p>
      <w:pPr>
        <w:pStyle w:val="8"/>
        <w:tabs>
          <w:tab w:val="left" w:pos="312"/>
        </w:tabs>
        <w:spacing w:line="560" w:lineRule="exact"/>
        <w:ind w:firstLine="643"/>
        <w:rPr>
          <w:rFonts w:cs="仿宋"/>
          <w:b/>
          <w:bCs/>
        </w:rPr>
      </w:pPr>
      <w:r>
        <w:rPr>
          <w:rFonts w:hint="eastAsia" w:cs="仿宋"/>
          <w:b/>
          <w:bCs/>
        </w:rPr>
        <w:t>2.心理健康专项督导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为深入贯彻党的二十大精神和习近平总书记关于“人民至上、生命至上”的重要指示精神，认真落实教育部等十七部门《全面加强和改进新时代学生心理健康工作专项行动计划（2023—2025 年）》以及省委省政府、市委市政府关于青少年生命健康关爱工作的部署要求，学校开展心理健康专项督导工作。4月17、18日，在学校党委副书记、校长沈文带领导下，督导组对石路校区和塔园路校区开展实地督导调研。督导组查阅学校学生心理教育相关制度与文件，听取各系德育主任工作汇报，观摩心理健康主题班会。督导发现，学校已建立起较为完善的心理健康教育制度，特别是全员导师制的推广，有效提高了学校心理健康教育工作。</w:t>
      </w:r>
    </w:p>
    <w:p>
      <w:pPr>
        <w:pStyle w:val="8"/>
        <w:tabs>
          <w:tab w:val="left" w:pos="312"/>
        </w:tabs>
        <w:spacing w:line="560" w:lineRule="exact"/>
        <w:ind w:firstLine="643"/>
        <w:rPr>
          <w:rFonts w:hint="eastAsia" w:cs="仿宋"/>
          <w:b/>
          <w:bCs/>
        </w:rPr>
      </w:pPr>
      <w:r>
        <w:rPr>
          <w:rFonts w:hint="eastAsia" w:cs="仿宋"/>
          <w:b/>
          <w:bCs/>
        </w:rPr>
        <w:t>3.过程性评价专项督导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为更好地落实职业教育的目标，提升教育质量，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校积极响应上级部门要求，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学校质量监督处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就学校教学质量的</w:t>
      </w:r>
      <w:r>
        <w:rPr>
          <w:rFonts w:hint="eastAsia" w:ascii="仿宋" w:hAnsi="仿宋" w:eastAsia="仿宋" w:cs="仿宋"/>
          <w:sz w:val="32"/>
          <w:szCs w:val="32"/>
        </w:rPr>
        <w:t>过程性评价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进行了重点专项督导</w:t>
      </w:r>
      <w:r>
        <w:rPr>
          <w:rFonts w:hint="eastAsia" w:ascii="仿宋" w:hAnsi="仿宋" w:eastAsia="仿宋" w:cs="仿宋"/>
          <w:sz w:val="32"/>
          <w:szCs w:val="32"/>
        </w:rPr>
        <w:t>调研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。4月2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日下午，在学校行政楼四楼会议室召开专题工作汇报会，六系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专业教研组长和基础教学部外语教研室主任</w:t>
      </w:r>
      <w:r>
        <w:rPr>
          <w:rFonts w:hint="eastAsia" w:ascii="仿宋" w:hAnsi="仿宋" w:eastAsia="仿宋" w:cs="仿宋"/>
          <w:sz w:val="32"/>
          <w:szCs w:val="32"/>
        </w:rPr>
        <w:t>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专题汇报，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副校长邹燕</w:t>
      </w:r>
      <w:r>
        <w:rPr>
          <w:rFonts w:hint="eastAsia" w:ascii="仿宋" w:hAnsi="仿宋" w:eastAsia="仿宋" w:cs="仿宋"/>
          <w:sz w:val="32"/>
          <w:szCs w:val="32"/>
        </w:rPr>
        <w:t>，督导组副组长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张燕</w:t>
      </w:r>
      <w:r>
        <w:rPr>
          <w:rFonts w:hint="eastAsia" w:ascii="仿宋" w:hAnsi="仿宋" w:eastAsia="仿宋" w:cs="仿宋"/>
          <w:sz w:val="32"/>
          <w:szCs w:val="32"/>
        </w:rPr>
        <w:t>及全体督导组成员参会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。各系、部针对过程性评价中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的专业（学科）核心素养掌握情况也有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初步的方案</w:t>
      </w:r>
      <w:r>
        <w:rPr>
          <w:rFonts w:hint="eastAsia" w:ascii="仿宋" w:hAnsi="仿宋" w:eastAsia="仿宋" w:cs="仿宋"/>
          <w:sz w:val="32"/>
          <w:szCs w:val="32"/>
        </w:rPr>
        <w:t>，但仍存在不少问题和不足。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通过此次督导，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坚持以学生发展为中心，注重过程与结果相结合的评价理念。多元化的评价体系，包括课堂表现、实践操作、项目完成等多种评价方式（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详见表1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），力求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全面反映学生的学习情况，促进</w:t>
      </w:r>
      <w:r>
        <w:rPr>
          <w:rFonts w:hint="eastAsia" w:ascii="仿宋" w:hAnsi="仿宋" w:eastAsia="仿宋" w:cs="仿宋"/>
          <w:sz w:val="32"/>
          <w:szCs w:val="32"/>
        </w:rPr>
        <w:t>学生全面发展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等方面</w:t>
      </w:r>
      <w:r>
        <w:rPr>
          <w:rFonts w:hint="eastAsia" w:ascii="仿宋" w:hAnsi="仿宋" w:eastAsia="仿宋" w:cs="仿宋"/>
          <w:sz w:val="32"/>
          <w:szCs w:val="32"/>
        </w:rPr>
        <w:t>提供更好的支持。</w:t>
      </w:r>
    </w:p>
    <w:p>
      <w:pPr>
        <w:ind w:firstLine="14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表1 教学评价方式改革（试点）指导意见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1266825</wp:posOffset>
            </wp:positionH>
            <wp:positionV relativeFrom="page">
              <wp:posOffset>2123440</wp:posOffset>
            </wp:positionV>
            <wp:extent cx="4639945" cy="1840230"/>
            <wp:effectExtent l="9525" t="9525" r="17780" b="1714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184023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二、常规督导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（一）督导巡视</w:t>
      </w:r>
    </w:p>
    <w:p>
      <w:pPr>
        <w:spacing w:line="560" w:lineRule="exact"/>
        <w:ind w:firstLine="636" w:firstLineChars="198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巡视教学秩序</w:t>
      </w:r>
    </w:p>
    <w:p>
      <w:pPr>
        <w:spacing w:line="560" w:lineRule="exact"/>
        <w:ind w:firstLine="633" w:firstLineChars="19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本月督导巡视29次，参与人员25次。整体教学秩序井然，师生精神饱满，学习氛围浓厚。特别是23级新生班级的学生上课精神风貌非常好，投入度较高。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其中，督导反馈较好的班级有13次（详见表2），其中，机电工程系有7次，表现最好。</w:t>
      </w:r>
    </w:p>
    <w:p>
      <w:pPr>
        <w:spacing w:line="560" w:lineRule="exact"/>
        <w:ind w:firstLine="633" w:firstLineChars="198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表2  督导反馈较好的系部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系部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130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系部</w:t>
            </w:r>
          </w:p>
        </w:tc>
        <w:tc>
          <w:tcPr>
            <w:tcW w:w="2130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服装工程系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电子工程系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经济贸易系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信息工程系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艺术设计系</w:t>
            </w:r>
          </w:p>
        </w:tc>
        <w:tc>
          <w:tcPr>
            <w:tcW w:w="2130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（二）督导听课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1.听课基本情况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本月督导听课12节，参与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听课的</w:t>
      </w:r>
      <w:r>
        <w:rPr>
          <w:rFonts w:hint="eastAsia" w:ascii="仿宋" w:hAnsi="仿宋" w:eastAsia="仿宋" w:cs="仿宋"/>
          <w:sz w:val="32"/>
          <w:szCs w:val="32"/>
        </w:rPr>
        <w:t>督导员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2人次。其中，成绩优秀（85分及以上）的有9位教师，占比为75%，最高分数为92分，最低分数为60.4分。成绩在90分以上的教师分别是：何靓赟、孙晔波、孟萍、朱迅。最低分是外聘教师高天彤老师。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高分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分析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（1）教师基本功扎实，教学重点突出；整节课课堂设计紧凑，教学过程中教师不断启发学生进行思考,教学效果显著；作为英语课程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教师注重朗读，师生对话练习，学生间对话练习，做到了讲、练、听、写、读相结合，教学实践设置到位。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教师知识储备丰富，上课讲解清楚、板书清楚整洁美观、课堂上教师善于运用语气、语调调动学生思维；整节课教师教学目标明确，教学环节设置合理，教学内容紧凑，讲解过程中教师讲练结合，学生听课专注度高，课堂参与度高，达到了预期的教学效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教师对授课内容娴熟、语言组织精简，课堂内容安排合理，从复习知识点到新授课程过渡自然教师驾驭课堂能力强；在复习提问环节中，教师能注重新旧知识的联系，师生直接一问一答，在回答过程中并留有一定时间让学生进行思索，课堂双边活动充分，课堂氛围较好；课堂教学中教师有感染力，注重培养学生动手动脑能力，并能充分利用教室中的实物投影仪辅助到课堂教学中，课堂效果显著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（4）教师</w:t>
      </w:r>
      <w:r>
        <w:rPr>
          <w:rFonts w:ascii="仿宋" w:hAnsi="仿宋" w:eastAsia="仿宋" w:cs="仿宋"/>
          <w:sz w:val="32"/>
          <w:szCs w:val="32"/>
        </w:rPr>
        <w:t>基本功扎实</w:t>
      </w:r>
      <w:r>
        <w:rPr>
          <w:rFonts w:hint="eastAsia" w:ascii="仿宋" w:hAnsi="仿宋" w:eastAsia="仿宋" w:cs="仿宋"/>
          <w:sz w:val="32"/>
          <w:szCs w:val="32"/>
        </w:rPr>
        <w:t>、讲解清晰、调理清楚，所授知识点讲解比较细致；在教学中教师能灵活运用现代化手段，</w:t>
      </w:r>
      <w:r>
        <w:rPr>
          <w:rFonts w:ascii="仿宋" w:hAnsi="仿宋" w:eastAsia="仿宋" w:cs="仿宋"/>
          <w:sz w:val="32"/>
          <w:szCs w:val="32"/>
        </w:rPr>
        <w:t>PPT制作精美</w:t>
      </w:r>
      <w:r>
        <w:rPr>
          <w:rFonts w:hint="eastAsia" w:ascii="仿宋" w:hAnsi="仿宋" w:eastAsia="仿宋" w:cs="仿宋"/>
          <w:sz w:val="32"/>
          <w:szCs w:val="32"/>
        </w:rPr>
        <w:t>，课堂效果较好；</w:t>
      </w:r>
      <w:r>
        <w:rPr>
          <w:rFonts w:ascii="仿宋" w:hAnsi="仿宋" w:eastAsia="仿宋" w:cs="仿宋"/>
          <w:sz w:val="32"/>
          <w:szCs w:val="32"/>
        </w:rPr>
        <w:t>在上课过程中</w:t>
      </w:r>
      <w:r>
        <w:rPr>
          <w:rFonts w:hint="eastAsia" w:ascii="仿宋" w:hAnsi="仿宋" w:eastAsia="仿宋" w:cs="仿宋"/>
          <w:sz w:val="32"/>
          <w:szCs w:val="32"/>
        </w:rPr>
        <w:t>教师还</w:t>
      </w:r>
      <w:r>
        <w:rPr>
          <w:rFonts w:ascii="仿宋" w:hAnsi="仿宋" w:eastAsia="仿宋" w:cs="仿宋"/>
          <w:sz w:val="32"/>
          <w:szCs w:val="32"/>
        </w:rPr>
        <w:t>注重观察学生的学习状态和主动性，</w:t>
      </w:r>
      <w:r>
        <w:rPr>
          <w:rFonts w:hint="eastAsia" w:ascii="仿宋" w:hAnsi="仿宋" w:eastAsia="仿宋" w:cs="仿宋"/>
          <w:sz w:val="32"/>
          <w:szCs w:val="32"/>
        </w:rPr>
        <w:t>根据学生的不同状态</w:t>
      </w:r>
      <w:r>
        <w:rPr>
          <w:rFonts w:ascii="仿宋" w:hAnsi="仿宋" w:eastAsia="仿宋" w:cs="仿宋"/>
          <w:sz w:val="32"/>
          <w:szCs w:val="32"/>
        </w:rPr>
        <w:t>适当调动学生的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ascii="仿宋" w:hAnsi="仿宋" w:eastAsia="仿宋" w:cs="仿宋"/>
          <w:sz w:val="32"/>
          <w:szCs w:val="32"/>
        </w:rPr>
        <w:t>积极性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3.低分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分析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教师上课无教学重难点，课堂上多以教师读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PPT</w:t>
      </w:r>
      <w:r>
        <w:rPr>
          <w:rFonts w:hint="eastAsia" w:ascii="仿宋" w:hAnsi="仿宋" w:eastAsia="仿宋" w:cs="仿宋"/>
          <w:sz w:val="32"/>
          <w:szCs w:val="32"/>
        </w:rPr>
        <w:t>和学生自行解读书本内容为主，整节课师生之间基本上无任何互动交流，多以教师照本宣科讲道理，课堂氛围比较沉闷，课堂内容比较枯燥，学生学习兴趣不浓，课堂气氛欠佳。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播放相关视频时可以利用好教室的电脑屏，这样学生能清晰地观看视频内容，提高观看体验。同时，确保视频播放时的音质和画质，以便学生更好地理解和吸收视频中的信息。此外，教师在播放视频时可以适时暂停，引导学生进行思考和讨论，将视频内容与课堂知识点相结合，增强学生的学习兴趣和参与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三、中职学校片区责任督学工作</w:t>
      </w:r>
    </w:p>
    <w:p>
      <w:pPr>
        <w:spacing w:line="560" w:lineRule="exact"/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1.守护学生心理健康</w:t>
      </w:r>
    </w:p>
    <w:p>
      <w:pPr>
        <w:spacing w:after="156" w:afterLines="50" w:line="560" w:lineRule="exact"/>
        <w:ind w:firstLine="640" w:firstLineChars="200"/>
        <w:rPr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学校组建由占百春书记和沈文校长为组长的“润心”工作专班，定期召开党委会审议工作。截至4月，学校确定重点关注学生101名。学校坚持“一二三四五”苏高职彩虹心理健康教育模式的建设，将彩虹心理健康教育全方位融入“德智体美劳”五育教育之中。组织开展“五育润心沐光同行”暨学校心理健康月系列活动，感恩生活、发掘自我、联结世界——学生心育实践活动和“彩虹心语”全校征集等活动。落实《关爱青少年生命健康“润心”行动实施方案》要求，完善早期干预机制，切实做到心理干预关口前移，常态化开展身心安全提醒，加强和改进新时代学生心理健康工作，提升学生心理健康素养</w:t>
      </w:r>
      <w:r>
        <w:rPr>
          <w:rFonts w:hint="eastAsia"/>
          <w:szCs w:val="21"/>
        </w:rPr>
        <w:t>。</w:t>
      </w:r>
    </w:p>
    <w:p>
      <w:pPr>
        <w:spacing w:line="560" w:lineRule="exact"/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2.督导体育实践课堂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月25日上午第三节课，督导组听取王小强老师《羽毛球技术实战应用》体育课。王老师围绕羽毛球比赛规则和方法、比赛实践等方面展开实训教学。在授课中，王老师从球的高度、球的飞行距离、球的速度、拍面的角度、在头顶上的击球方法、用于得分的高远球、用于摆脱危机的过渡高远球、用于在对手回球时抢分的高远球等方面进行示范。课程实用性、针对性强，是一堂生动有趣的体育实践课。</w:t>
      </w:r>
    </w:p>
    <w:p>
      <w:pPr>
        <w:spacing w:line="560" w:lineRule="exact"/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3.调研学校期中考试</w:t>
      </w:r>
    </w:p>
    <w:p>
      <w:pPr>
        <w:spacing w:after="156" w:after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学校根据职业教育教学</w:t>
      </w:r>
      <w:r>
        <w:rPr>
          <w:rFonts w:ascii="仿宋" w:hAnsi="仿宋" w:eastAsia="仿宋" w:cs="仿宋"/>
          <w:sz w:val="32"/>
          <w:szCs w:val="32"/>
        </w:rPr>
        <w:t>重创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ascii="仿宋" w:hAnsi="仿宋" w:eastAsia="仿宋" w:cs="仿宋"/>
          <w:sz w:val="32"/>
          <w:szCs w:val="32"/>
        </w:rPr>
        <w:t>、创造、实践能力</w:t>
      </w:r>
      <w:r>
        <w:rPr>
          <w:rFonts w:hint="eastAsia" w:ascii="仿宋" w:hAnsi="仿宋" w:eastAsia="仿宋" w:cs="仿宋"/>
          <w:sz w:val="32"/>
          <w:szCs w:val="32"/>
        </w:rPr>
        <w:t>的特点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本学期起，为杜绝“</w:t>
      </w:r>
      <w:r>
        <w:rPr>
          <w:rFonts w:ascii="仿宋" w:hAnsi="仿宋" w:eastAsia="仿宋" w:cs="仿宋"/>
          <w:sz w:val="32"/>
          <w:szCs w:val="32"/>
        </w:rPr>
        <w:t>一卷定成绩</w:t>
      </w:r>
      <w:r>
        <w:rPr>
          <w:rFonts w:hint="eastAsia" w:ascii="仿宋" w:hAnsi="仿宋" w:eastAsia="仿宋" w:cs="仿宋"/>
          <w:sz w:val="32"/>
          <w:szCs w:val="32"/>
        </w:rPr>
        <w:t>”现象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避免学生“</w:t>
      </w:r>
      <w:r>
        <w:rPr>
          <w:rFonts w:ascii="仿宋" w:hAnsi="仿宋" w:eastAsia="仿宋" w:cs="仿宋"/>
          <w:sz w:val="32"/>
          <w:szCs w:val="32"/>
        </w:rPr>
        <w:t>盲目追求考分为导向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，倡导职业教育“做中学、学中做”，</w:t>
      </w:r>
      <w:r>
        <w:rPr>
          <w:rFonts w:ascii="仿宋" w:hAnsi="仿宋" w:eastAsia="仿宋" w:cs="仿宋"/>
          <w:sz w:val="32"/>
          <w:szCs w:val="32"/>
        </w:rPr>
        <w:t>采用过程性评价考核法，</w:t>
      </w:r>
      <w:r>
        <w:rPr>
          <w:rFonts w:hint="eastAsia" w:ascii="仿宋" w:hAnsi="仿宋" w:eastAsia="仿宋" w:cs="仿宋"/>
          <w:sz w:val="32"/>
          <w:szCs w:val="32"/>
        </w:rPr>
        <w:t>本学期不再安排期中考试。学校从课堂组织入手，通过课堂考勤、课堂表现、动手实践及完成作业情况，</w:t>
      </w:r>
      <w:r>
        <w:rPr>
          <w:rFonts w:ascii="仿宋" w:hAnsi="仿宋" w:eastAsia="仿宋" w:cs="仿宋"/>
          <w:sz w:val="32"/>
          <w:szCs w:val="32"/>
        </w:rPr>
        <w:t>客观、公正地评价考核学生学习能力</w:t>
      </w:r>
      <w:r>
        <w:rPr>
          <w:rFonts w:hint="eastAsia" w:ascii="仿宋" w:hAnsi="仿宋" w:eastAsia="仿宋" w:cs="仿宋"/>
          <w:sz w:val="32"/>
          <w:szCs w:val="32"/>
        </w:rPr>
        <w:t>。过程性评价不仅</w:t>
      </w:r>
      <w:r>
        <w:rPr>
          <w:rFonts w:ascii="仿宋" w:hAnsi="仿宋" w:eastAsia="仿宋" w:cs="仿宋"/>
          <w:sz w:val="32"/>
          <w:szCs w:val="32"/>
        </w:rPr>
        <w:t>有助于培养学生的实践能力，更有助于推动创新创业教育教师提升课程的教学能力</w:t>
      </w:r>
      <w:r>
        <w:rPr>
          <w:rFonts w:hint="eastAsia" w:ascii="仿宋" w:hAnsi="仿宋" w:eastAsia="仿宋" w:cs="仿宋"/>
          <w:sz w:val="32"/>
          <w:szCs w:val="32"/>
        </w:rPr>
        <w:t>，同时更能突出</w:t>
      </w:r>
      <w:r>
        <w:rPr>
          <w:rFonts w:ascii="仿宋" w:hAnsi="仿宋" w:eastAsia="仿宋" w:cs="仿宋"/>
          <w:sz w:val="32"/>
          <w:szCs w:val="32"/>
        </w:rPr>
        <w:t>同学们积极表现，积极参与课堂互动、参加项目路演展示，展示出良好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ascii="仿宋" w:hAnsi="仿宋" w:eastAsia="仿宋" w:cs="仿宋"/>
          <w:sz w:val="32"/>
          <w:szCs w:val="32"/>
        </w:rPr>
        <w:t>课堂教学氛围。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存在的问题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通过巡视，我们发现在教育教学、学生管理、师资建设、设施设备和校园文化建设等方面取得了一定的成绩，但也存在一些问题。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1.学生管理制度有待进一步完善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教师的心理健康教育意识和专业能力不足。有些教师只关注学科教学，缺少对学生心理基本需求的理解，缺少在课堂教学、班级管理中开展心理健康教育的策略，缺少对有心理问题学生的恰当关注和支持。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在对学生心理行为问题的发现、识别往往只能凭借医院就医报告，但对不愿意就医，甚至家庭有隐瞒病症的学生缺乏发识别和早期干预的专业支持。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2.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教学管理有待提升。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本月起试用平台评课，督导评课中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出现评课系统不能统计外聘教师评课内容，质量监督处在与超星泛雅平台沟通、寻找问题根源，主要是没有把外聘教师归属于系部，没有组织架构所造成的，希望教学管理处能及时更新后台教师的归属地。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3.外聘教师教学质量参差不齐。</w:t>
      </w:r>
      <w:r>
        <w:rPr>
          <w:rFonts w:hint="eastAsia" w:ascii="仿宋" w:hAnsi="仿宋" w:eastAsia="仿宋" w:cs="仿宋"/>
          <w:sz w:val="32"/>
          <w:szCs w:val="32"/>
        </w:rPr>
        <w:t>有的老师教学方法单一，缺乏创新和实践性，上课围绕着PPT照本宣读课堂教学效果不佳。为了进一步提高教学水平，质量监督处将一如既往地关注外聘教师的教学方法、课堂教学，加强课堂教学质量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促进教学方法的创新和实践性。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另外，在巡视中还发现有些班级在教室无人时，出现门、窗、电灯、多媒体未关，充电器正在充电的现象，本月累计涉及共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详见表3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，较上个月的99次相比较，有了很大的进步。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其中，服装工程系在安全教育方面表现最好，门、窗、电均关好。</w:t>
      </w:r>
    </w:p>
    <w:p>
      <w:pPr>
        <w:spacing w:line="560" w:lineRule="exact"/>
        <w:ind w:firstLine="56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表3 四月份教室安全巡视记录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系部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130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系部</w:t>
            </w:r>
          </w:p>
        </w:tc>
        <w:tc>
          <w:tcPr>
            <w:tcW w:w="2130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服装工程系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电子工程系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经济贸易系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信息工程系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0" w:type="dxa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艺术设计系</w:t>
            </w:r>
          </w:p>
        </w:tc>
        <w:tc>
          <w:tcPr>
            <w:tcW w:w="2130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bookmarkEnd w:id="1"/>
    </w:tbl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spacing w:line="560" w:lineRule="exact"/>
        <w:ind w:firstLine="6160" w:firstLineChars="2200"/>
        <w:rPr>
          <w:rFonts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质量监督处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3FAA9-C668-4EDA-B05E-5FC0DB968E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5633F3-FC4E-4FD1-A805-2BC8A93200A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1994A9-731E-415A-8E33-9CBCE9658AC0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AA0348B1-2DEB-40D9-8FC0-1E8697052A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1BC36AA-EF66-471C-A7C9-A2C5A41A48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946B4CB-B775-41D9-9478-E7E3B40887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589CF"/>
    <w:multiLevelType w:val="singleLevel"/>
    <w:tmpl w:val="39A589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724C2C"/>
    <w:multiLevelType w:val="multilevel"/>
    <w:tmpl w:val="5C724C2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YWY0YmEzZjdmZGZlMWY0NTcyNjkyZjE3ZDY2ZWUifQ=="/>
  </w:docVars>
  <w:rsids>
    <w:rsidRoot w:val="02526FAD"/>
    <w:rsid w:val="000014CA"/>
    <w:rsid w:val="00061D2C"/>
    <w:rsid w:val="00071D97"/>
    <w:rsid w:val="00091D19"/>
    <w:rsid w:val="000A29AA"/>
    <w:rsid w:val="001148EC"/>
    <w:rsid w:val="00176228"/>
    <w:rsid w:val="00210DAF"/>
    <w:rsid w:val="003675F1"/>
    <w:rsid w:val="00372754"/>
    <w:rsid w:val="004423FE"/>
    <w:rsid w:val="0044654D"/>
    <w:rsid w:val="00480E59"/>
    <w:rsid w:val="004C12EB"/>
    <w:rsid w:val="00547FFA"/>
    <w:rsid w:val="005B31FE"/>
    <w:rsid w:val="005C46B5"/>
    <w:rsid w:val="00630306"/>
    <w:rsid w:val="00634773"/>
    <w:rsid w:val="00680C07"/>
    <w:rsid w:val="00694B21"/>
    <w:rsid w:val="006D41DB"/>
    <w:rsid w:val="00723275"/>
    <w:rsid w:val="00781767"/>
    <w:rsid w:val="0089684A"/>
    <w:rsid w:val="009568FF"/>
    <w:rsid w:val="009E583C"/>
    <w:rsid w:val="00A82DE7"/>
    <w:rsid w:val="00B00695"/>
    <w:rsid w:val="00B20B40"/>
    <w:rsid w:val="00B42673"/>
    <w:rsid w:val="00B50DCD"/>
    <w:rsid w:val="00C61EF7"/>
    <w:rsid w:val="00CE61FB"/>
    <w:rsid w:val="00D66AB2"/>
    <w:rsid w:val="00E00EB3"/>
    <w:rsid w:val="00E15C39"/>
    <w:rsid w:val="00E40A43"/>
    <w:rsid w:val="00EB4491"/>
    <w:rsid w:val="00F16AC4"/>
    <w:rsid w:val="00F6183A"/>
    <w:rsid w:val="02526FAD"/>
    <w:rsid w:val="052B25AB"/>
    <w:rsid w:val="05D8584C"/>
    <w:rsid w:val="079224D5"/>
    <w:rsid w:val="08295DA7"/>
    <w:rsid w:val="0B2C00A7"/>
    <w:rsid w:val="0DD2193B"/>
    <w:rsid w:val="106B2DE7"/>
    <w:rsid w:val="12707117"/>
    <w:rsid w:val="12AC39E6"/>
    <w:rsid w:val="13BA0287"/>
    <w:rsid w:val="16D37165"/>
    <w:rsid w:val="1CAE4BF7"/>
    <w:rsid w:val="1D1A7884"/>
    <w:rsid w:val="1E167413"/>
    <w:rsid w:val="1FCC441A"/>
    <w:rsid w:val="22CB60D3"/>
    <w:rsid w:val="23A20B31"/>
    <w:rsid w:val="2A9D2782"/>
    <w:rsid w:val="328C3224"/>
    <w:rsid w:val="36092F02"/>
    <w:rsid w:val="3DAB09D8"/>
    <w:rsid w:val="3DD853AA"/>
    <w:rsid w:val="3F707F1A"/>
    <w:rsid w:val="49CC0D2F"/>
    <w:rsid w:val="4A7162AD"/>
    <w:rsid w:val="4B335C59"/>
    <w:rsid w:val="4B9A45FC"/>
    <w:rsid w:val="4F002165"/>
    <w:rsid w:val="52AB003A"/>
    <w:rsid w:val="52E361B6"/>
    <w:rsid w:val="55C8402B"/>
    <w:rsid w:val="55F11B90"/>
    <w:rsid w:val="564477C4"/>
    <w:rsid w:val="5739256A"/>
    <w:rsid w:val="596037EF"/>
    <w:rsid w:val="5DC61250"/>
    <w:rsid w:val="5F7F2E42"/>
    <w:rsid w:val="5F7F7248"/>
    <w:rsid w:val="60397415"/>
    <w:rsid w:val="617F52FC"/>
    <w:rsid w:val="61946EA3"/>
    <w:rsid w:val="63562308"/>
    <w:rsid w:val="640D306A"/>
    <w:rsid w:val="683C0EBD"/>
    <w:rsid w:val="6871597E"/>
    <w:rsid w:val="6A41114E"/>
    <w:rsid w:val="6F4A6AB5"/>
    <w:rsid w:val="6FB51499"/>
    <w:rsid w:val="755D22B9"/>
    <w:rsid w:val="759479A6"/>
    <w:rsid w:val="76B6446E"/>
    <w:rsid w:val="76E91CC5"/>
    <w:rsid w:val="7B070BE4"/>
    <w:rsid w:val="7C301956"/>
    <w:rsid w:val="7DC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napToGrid w:val="0"/>
      <w:spacing w:line="480" w:lineRule="atLeast"/>
      <w:ind w:firstLine="643" w:firstLineChars="200"/>
    </w:pPr>
    <w:rPr>
      <w:rFonts w:ascii="黑体" w:eastAsia="黑体"/>
      <w:b/>
      <w:bCs/>
      <w:sz w:val="32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2"/>
    <w:autoRedefine/>
    <w:qFormat/>
    <w:uiPriority w:val="0"/>
    <w:pPr>
      <w:snapToGrid w:val="0"/>
      <w:spacing w:before="240" w:after="120" w:line="440" w:lineRule="atLeast"/>
      <w:jc w:val="center"/>
      <w:outlineLvl w:val="1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公文正文"/>
    <w:basedOn w:val="1"/>
    <w:autoRedefine/>
    <w:qFormat/>
    <w:uiPriority w:val="0"/>
    <w:pPr>
      <w:ind w:firstLine="640" w:firstLineChars="200"/>
    </w:pPr>
    <w:rPr>
      <w:rFonts w:ascii="仿宋" w:hAnsi="仿宋" w:eastAsia="仿宋" w:cs="Times New Roman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3460</Words>
  <Characters>3527</Characters>
  <Lines>29</Lines>
  <Paragraphs>8</Paragraphs>
  <TotalTime>4</TotalTime>
  <ScaleCrop>false</ScaleCrop>
  <LinksUpToDate>false</LinksUpToDate>
  <CharactersWithSpaces>3642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2024-05-06T06:34:00Z</dcterms:created>
  <dc:creator>山青水秀</dc:creator>
  <cp:lastModifiedBy>周建春</cp:lastModifiedBy>
  <dcterms:modified xsi:type="dcterms:W3CDTF">2024-05-10T04:38:36Z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38E970E2FEFB416397685253421E4BBF_13</vt:lpwstr>
  </property>
</Properties>
</file>